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омного округа-Югры </w:t>
      </w:r>
      <w:r>
        <w:rPr>
          <w:rStyle w:val="cat-FIOgrp-16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641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ч.1.1 ст.12.1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Style w:val="cat-FIOgrp-17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за совершение правонарушения, предусмотренного ч.1 ст.12.1 КоАП РФ (управление транспортным средством, не зарегистрированным в установленном порядке) на основании постановления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18810055230000146954 от </w:t>
      </w:r>
      <w:r>
        <w:rPr>
          <w:rStyle w:val="cat-Dategrp-8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9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10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№1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марки </w:t>
      </w:r>
      <w:r>
        <w:rPr>
          <w:rStyle w:val="cat-CarMakeModelgrp-28rplc-1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имеющи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мся на нем государственным регистрационным знаком </w:t>
      </w:r>
      <w:r>
        <w:rPr>
          <w:rFonts w:ascii="Times New Roman" w:eastAsia="Times New Roman" w:hAnsi="Times New Roman" w:cs="Times New Roman"/>
          <w:sz w:val="26"/>
          <w:szCs w:val="26"/>
        </w:rPr>
        <w:t>Е268СУ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зарегистриро</w:t>
      </w:r>
      <w:r>
        <w:rPr>
          <w:rFonts w:ascii="Times New Roman" w:eastAsia="Times New Roman" w:hAnsi="Times New Roman" w:cs="Times New Roman"/>
          <w:sz w:val="26"/>
          <w:szCs w:val="26"/>
        </w:rPr>
        <w:t>ванным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 совершив правонарушение, предусмотренное ч.1 ст.12.1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письменные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приходит к выводу о виновности </w:t>
      </w:r>
      <w:r>
        <w:rPr>
          <w:rStyle w:val="cat-FIOgrp-18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ст.12.1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ч.1.1 ст.12.1 КоАП РФ повторное совершение административного правонарушения, предусмотренного частью 1 данной статьи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размере </w:t>
      </w:r>
      <w:r>
        <w:rPr>
          <w:rStyle w:val="cat-SumInWordsgrp-21rplc-19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4" w:anchor="/document/10105643/entry/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3 статьи 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транспортное средство допускается к участию в дорожном движении в случае, если оно состоит на государственном учете, его государственный учет не прекращен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оно соответствует основным положениям о допуске транспортных средств к участию в дорожном движении, установленным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Действующим порядком, определяющим обязанность по регистрации транспортных средств, предусмотрено, что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 или иных органах, определяемых Правительством Российской Федерации, в течение срока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регистрационного знака «Транзит»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10 суток после их приобретения или таможенного оформления (</w:t>
      </w:r>
      <w:hyperlink r:id="rId4" w:anchor="/document/1305770/entry/20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орожного движения,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Совета Министров - Правительства Российской Федерации от </w:t>
      </w:r>
      <w:r>
        <w:rPr>
          <w:rStyle w:val="cat-Dategrp-12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hyperlink r:id="rId4" w:anchor="/document/72280274/entry/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пункте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Пленума Верховного Суда Российской Федерации от </w:t>
      </w:r>
      <w:r>
        <w:rPr>
          <w:rStyle w:val="cat-Dategrp-13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 «О некоторых вопросах, возникающих в судебной практике при рассмотрении дел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равонарушениях,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правонарушениях» разъяснено, что 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</w:t>
      </w:r>
      <w:hyperlink r:id="rId4" w:anchor="/document/12125267/entry/121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управления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марки </w:t>
      </w:r>
      <w:r>
        <w:rPr>
          <w:rStyle w:val="cat-CarMakeModelgrp-28rplc-2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имеющи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мся на нем государственным регистрационным знаком </w:t>
      </w:r>
      <w:r>
        <w:rPr>
          <w:rFonts w:ascii="Times New Roman" w:eastAsia="Times New Roman" w:hAnsi="Times New Roman" w:cs="Times New Roman"/>
          <w:sz w:val="26"/>
          <w:szCs w:val="26"/>
        </w:rPr>
        <w:t>Е268СУ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зарегистрированным в установленном законом порядке подтверждается исследованными в судебном заседании доказательствами, а именно: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672299 от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18810055230000146954 от </w:t>
      </w:r>
      <w:r>
        <w:rPr>
          <w:rStyle w:val="cat-Dategrp-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14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8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ст.12.1 КоАП РФ с назначением наказания в виде штрафа в размере </w:t>
      </w:r>
      <w:r>
        <w:rPr>
          <w:rStyle w:val="cat-Sumgrp-22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опией карточки учета транспортного средства марки </w:t>
      </w:r>
      <w:r>
        <w:rPr>
          <w:rStyle w:val="cat-CarMakeModelgrp-28rplc-3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Е268СУ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регистрация данного транспортного средства прекращена </w:t>
      </w:r>
      <w:r>
        <w:rPr>
          <w:rStyle w:val="cat-Dategrp-15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продажей другому лицу.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решении вопроса о к</w:t>
      </w:r>
      <w:r>
        <w:rPr>
          <w:rFonts w:ascii="Times New Roman" w:eastAsia="Times New Roman" w:hAnsi="Times New Roman" w:cs="Times New Roman"/>
          <w:sz w:val="26"/>
          <w:szCs w:val="26"/>
        </w:rPr>
        <w:t>валификации действий лица по ч.</w:t>
      </w:r>
      <w:r>
        <w:rPr>
          <w:rFonts w:ascii="Times New Roman" w:eastAsia="Times New Roman" w:hAnsi="Times New Roman" w:cs="Times New Roman"/>
          <w:sz w:val="26"/>
          <w:szCs w:val="26"/>
        </w:rPr>
        <w:t>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руководствоваться определением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повторности, которое дано в п.2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наказанию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 до истечения одного года со дня окончания исполнения данного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положения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ра</w:t>
      </w:r>
      <w:r>
        <w:rPr>
          <w:rFonts w:ascii="Times New Roman" w:eastAsia="Times New Roman" w:hAnsi="Times New Roman" w:cs="Times New Roman"/>
          <w:sz w:val="26"/>
          <w:szCs w:val="26"/>
        </w:rPr>
        <w:t>ссматривать во взаимосвязи с п.2 ч.1 ст.4.3 и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приложенной к административному материалу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18810055230000146954 от </w:t>
      </w:r>
      <w:r>
        <w:rPr>
          <w:rStyle w:val="cat-Dategrp-8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привлечен 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и подвергнут административному наказанию в виде административного штрафа в размере </w:t>
      </w:r>
      <w:r>
        <w:rPr>
          <w:rStyle w:val="cat-Sumgrp-23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Style w:val="cat-Dategrp-9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Style w:val="cat-FIOgrp-18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подвергнутым административному наказанию с </w:t>
      </w:r>
      <w:r>
        <w:rPr>
          <w:rStyle w:val="cat-Dategrp-9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одного года после оплаты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том, что на момент совершения рассматриваемого правонарушения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подвергнутым наказанию за совершение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то в действии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в виде управления транспортным средством, не зарегистрированным в установленном порядке.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наказание, мировой судья учитывает характер совершенного правонарушения, объектом которого является безопасность дорожного движения, обстоятельства содеянного, личность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 в сфере безопасности дорожного движения, неоднократно привлекался к административной ответственности за нарушение ПДД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Style w:val="cat-FIOgrp-18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</w:t>
      </w:r>
      <w:r>
        <w:rPr>
          <w:rFonts w:ascii="Times New Roman" w:eastAsia="Times New Roman" w:hAnsi="Times New Roman" w:cs="Times New Roman"/>
          <w:sz w:val="26"/>
          <w:szCs w:val="26"/>
        </w:rPr>
        <w:t>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1.1 ст.12.1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24rplc-4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5" w:anchor="sub_30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4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9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0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25rplc-5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номер счета получателя: 031006430000000018700, банк получателя РКЦ Ханты-Мансийск </w:t>
      </w:r>
      <w:r>
        <w:rPr>
          <w:rStyle w:val="cat-Addressgrp-0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1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2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33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1881048625025000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794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5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5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723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ExternalSystemDefinedgrp-34rplc-5">
    <w:name w:val="cat-ExternalSystemDefined grp-34 rplc-5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CarMakeModelgrp-28rplc-15">
    <w:name w:val="cat-CarMakeModel grp-2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SumInWordsgrp-21rplc-19">
    <w:name w:val="cat-SumInWords grp-2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CarMakeModelgrp-28rplc-24">
    <w:name w:val="cat-CarMakeModel grp-2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2rplc-30">
    <w:name w:val="cat-Sum grp-22 rplc-30"/>
    <w:basedOn w:val="DefaultParagraphFont"/>
  </w:style>
  <w:style w:type="character" w:customStyle="1" w:styleId="cat-CarMakeModelgrp-28rplc-31">
    <w:name w:val="cat-CarMakeModel grp-28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Sumgrp-23rplc-35">
    <w:name w:val="cat-Sum grp-23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Sumgrp-24rplc-45">
    <w:name w:val="cat-Sum grp-24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Sumgrp-25rplc-50">
    <w:name w:val="cat-Sum grp-25 rplc-50"/>
    <w:basedOn w:val="DefaultParagraphFont"/>
  </w:style>
  <w:style w:type="character" w:customStyle="1" w:styleId="cat-Addressgrp-0rplc-51">
    <w:name w:val="cat-Address grp-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FIOgrp-20rplc-56">
    <w:name w:val="cat-FIO grp-20 rplc-56"/>
    <w:basedOn w:val="DefaultParagraphFont"/>
  </w:style>
  <w:style w:type="character" w:customStyle="1" w:styleId="cat-FIOgrp-20rplc-57">
    <w:name w:val="cat-FIO grp-2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B4D1-087D-4A0F-A2F2-9FB9E517E99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